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B5EE" w14:textId="77777777" w:rsidR="0029122F" w:rsidRPr="00455393" w:rsidRDefault="0029122F" w:rsidP="0029122F">
      <w:pPr>
        <w:pStyle w:val="NoSpacing"/>
        <w:jc w:val="center"/>
        <w:rPr>
          <w:rFonts w:ascii="Times New Roman" w:hAnsi="Times New Roman" w:cs="Times New Roman"/>
        </w:rPr>
      </w:pPr>
      <w:r w:rsidRPr="00455393">
        <w:rPr>
          <w:rFonts w:ascii="Times New Roman" w:hAnsi="Times New Roman" w:cs="Times New Roman"/>
          <w:b/>
          <w:bCs/>
        </w:rPr>
        <w:t>Appendix O.</w:t>
      </w:r>
    </w:p>
    <w:p w14:paraId="13DF56C3" w14:textId="77777777" w:rsidR="0029122F" w:rsidRPr="00455393" w:rsidRDefault="0029122F" w:rsidP="0029122F">
      <w:pPr>
        <w:jc w:val="center"/>
        <w:rPr>
          <w:rFonts w:ascii="Times New Roman" w:hAnsi="Times New Roman" w:cs="Times New Roman"/>
          <w:b/>
          <w:bCs/>
        </w:rPr>
      </w:pPr>
      <w:r w:rsidRPr="00455393">
        <w:rPr>
          <w:rFonts w:ascii="Times New Roman" w:hAnsi="Times New Roman" w:cs="Times New Roman"/>
          <w:b/>
          <w:bCs/>
        </w:rPr>
        <w:t>Financial Tables and ROI Analysis</w:t>
      </w:r>
    </w:p>
    <w:p w14:paraId="7A102E82" w14:textId="77777777" w:rsidR="0029122F" w:rsidRPr="00455393" w:rsidRDefault="0029122F" w:rsidP="0029122F">
      <w:pPr>
        <w:rPr>
          <w:rFonts w:ascii="Times New Roman" w:hAnsi="Times New Roman" w:cs="Times New Roman"/>
          <w:b/>
          <w:bCs/>
          <w:color w:val="000000"/>
        </w:rPr>
      </w:pPr>
      <w:r w:rsidRPr="00455393">
        <w:rPr>
          <w:rFonts w:ascii="Times New Roman" w:hAnsi="Times New Roman" w:cs="Times New Roman"/>
          <w:b/>
          <w:bCs/>
          <w:color w:val="000000"/>
        </w:rPr>
        <w:t>Table O1.</w:t>
      </w:r>
    </w:p>
    <w:p w14:paraId="59D52FDB" w14:textId="77777777" w:rsidR="0029122F" w:rsidRPr="00455393" w:rsidRDefault="0029122F" w:rsidP="0029122F">
      <w:pPr>
        <w:rPr>
          <w:rFonts w:ascii="Times New Roman" w:hAnsi="Times New Roman" w:cs="Times New Roman"/>
          <w:i/>
          <w:iCs/>
          <w:color w:val="000000"/>
        </w:rPr>
      </w:pPr>
      <w:r w:rsidRPr="00455393">
        <w:rPr>
          <w:rFonts w:ascii="Times New Roman" w:hAnsi="Times New Roman" w:cs="Times New Roman"/>
          <w:i/>
          <w:iCs/>
          <w:color w:val="000000"/>
        </w:rPr>
        <w:t>Estimated Long-Acting PrEP Program Budget</w:t>
      </w:r>
    </w:p>
    <w:p w14:paraId="6299BD59" w14:textId="77777777" w:rsidR="0029122F" w:rsidRPr="00455393" w:rsidRDefault="0029122F" w:rsidP="0029122F">
      <w:pPr>
        <w:jc w:val="center"/>
        <w:rPr>
          <w:rFonts w:ascii="Times New Roman" w:hAnsi="Times New Roman" w:cs="Times New Roman"/>
        </w:rPr>
      </w:pPr>
      <w:r w:rsidRPr="00455393">
        <w:rPr>
          <w:rFonts w:ascii="Times New Roman" w:eastAsia="Times New Roman" w:hAnsi="Times New Roman" w:cs="Times New Roman"/>
          <w:b/>
          <w:bCs/>
          <w:noProof/>
          <w:color w:val="000000"/>
          <w:kern w:val="36"/>
          <w14:ligatures w14:val="none"/>
        </w:rPr>
        <w:drawing>
          <wp:inline distT="0" distB="0" distL="0" distR="0" wp14:anchorId="171644EB" wp14:editId="4C5EB03B">
            <wp:extent cx="5943600" cy="3424555"/>
            <wp:effectExtent l="0" t="0" r="0" b="4445"/>
            <wp:docPr id="6" name="Content Placeholder 5" descr="Table&#10;&#10;AI-generated content may be incorrect.">
              <a:extLst xmlns:a="http://schemas.openxmlformats.org/drawingml/2006/main">
                <a:ext uri="{FF2B5EF4-FFF2-40B4-BE49-F238E27FC236}">
                  <a16:creationId xmlns:a16="http://schemas.microsoft.com/office/drawing/2014/main" id="{0A9A77A9-C193-62A2-D8F4-F9F12782233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Table&#10;&#10;AI-generated content may be incorrect.">
                      <a:extLst>
                        <a:ext uri="{FF2B5EF4-FFF2-40B4-BE49-F238E27FC236}">
                          <a16:creationId xmlns:a16="http://schemas.microsoft.com/office/drawing/2014/main" id="{0A9A77A9-C193-62A2-D8F4-F9F12782233F}"/>
                        </a:ext>
                      </a:extLst>
                    </pic:cNvPr>
                    <pic:cNvPicPr>
                      <a:picLocks noGrp="1" noChangeAspect="1"/>
                    </pic:cNvPicPr>
                  </pic:nvPicPr>
                  <pic:blipFill>
                    <a:blip r:embed="rId6"/>
                    <a:stretch>
                      <a:fillRect/>
                    </a:stretch>
                  </pic:blipFill>
                  <pic:spPr>
                    <a:xfrm>
                      <a:off x="0" y="0"/>
                      <a:ext cx="5943600" cy="3424555"/>
                    </a:xfrm>
                    <a:prstGeom prst="rect">
                      <a:avLst/>
                    </a:prstGeom>
                  </pic:spPr>
                </pic:pic>
              </a:graphicData>
            </a:graphic>
          </wp:inline>
        </w:drawing>
      </w:r>
    </w:p>
    <w:p w14:paraId="3F01E28A" w14:textId="77777777" w:rsidR="0029122F" w:rsidRPr="00455393" w:rsidRDefault="0029122F" w:rsidP="0029122F">
      <w:pPr>
        <w:rPr>
          <w:rFonts w:ascii="Times New Roman" w:hAnsi="Times New Roman" w:cs="Times New Roman"/>
          <w:b/>
          <w:bCs/>
          <w:color w:val="000000"/>
        </w:rPr>
      </w:pPr>
    </w:p>
    <w:p w14:paraId="465C8E7E" w14:textId="77777777" w:rsidR="0029122F" w:rsidRPr="00455393" w:rsidRDefault="0029122F" w:rsidP="0029122F">
      <w:pPr>
        <w:rPr>
          <w:rFonts w:ascii="Times New Roman" w:hAnsi="Times New Roman" w:cs="Times New Roman"/>
          <w:b/>
          <w:bCs/>
          <w:color w:val="000000"/>
        </w:rPr>
      </w:pPr>
    </w:p>
    <w:p w14:paraId="67D340C0" w14:textId="77777777" w:rsidR="0029122F" w:rsidRPr="00455393" w:rsidRDefault="0029122F" w:rsidP="0029122F">
      <w:pPr>
        <w:rPr>
          <w:rFonts w:ascii="Times New Roman" w:hAnsi="Times New Roman" w:cs="Times New Roman"/>
          <w:b/>
          <w:bCs/>
          <w:color w:val="000000"/>
        </w:rPr>
      </w:pPr>
    </w:p>
    <w:p w14:paraId="2E6802CF" w14:textId="77777777" w:rsidR="0029122F" w:rsidRPr="00455393" w:rsidRDefault="0029122F" w:rsidP="0029122F">
      <w:pPr>
        <w:rPr>
          <w:rFonts w:ascii="Times New Roman" w:hAnsi="Times New Roman" w:cs="Times New Roman"/>
          <w:b/>
          <w:bCs/>
          <w:color w:val="000000"/>
        </w:rPr>
      </w:pPr>
    </w:p>
    <w:p w14:paraId="674078BE" w14:textId="77777777" w:rsidR="0029122F" w:rsidRPr="00455393" w:rsidRDefault="0029122F" w:rsidP="0029122F">
      <w:pPr>
        <w:rPr>
          <w:rFonts w:ascii="Times New Roman" w:hAnsi="Times New Roman" w:cs="Times New Roman"/>
          <w:b/>
          <w:bCs/>
          <w:color w:val="000000"/>
        </w:rPr>
      </w:pPr>
    </w:p>
    <w:p w14:paraId="2F64FE0C" w14:textId="77777777" w:rsidR="0029122F" w:rsidRPr="00455393" w:rsidRDefault="0029122F" w:rsidP="0029122F">
      <w:pPr>
        <w:rPr>
          <w:rFonts w:ascii="Times New Roman" w:hAnsi="Times New Roman" w:cs="Times New Roman"/>
          <w:b/>
          <w:bCs/>
          <w:color w:val="000000"/>
        </w:rPr>
      </w:pPr>
    </w:p>
    <w:p w14:paraId="5072D0D9" w14:textId="77777777" w:rsidR="0029122F" w:rsidRPr="00455393" w:rsidRDefault="0029122F" w:rsidP="0029122F">
      <w:pPr>
        <w:rPr>
          <w:rFonts w:ascii="Times New Roman" w:hAnsi="Times New Roman" w:cs="Times New Roman"/>
          <w:b/>
          <w:bCs/>
          <w:color w:val="000000"/>
        </w:rPr>
      </w:pPr>
    </w:p>
    <w:p w14:paraId="5FC30167" w14:textId="77777777" w:rsidR="0029122F" w:rsidRPr="00455393" w:rsidRDefault="0029122F" w:rsidP="0029122F">
      <w:pPr>
        <w:rPr>
          <w:rFonts w:ascii="Times New Roman" w:hAnsi="Times New Roman" w:cs="Times New Roman"/>
          <w:b/>
          <w:bCs/>
          <w:color w:val="000000"/>
        </w:rPr>
      </w:pPr>
    </w:p>
    <w:p w14:paraId="5719ADD3" w14:textId="77777777" w:rsidR="0029122F" w:rsidRPr="00455393" w:rsidRDefault="0029122F" w:rsidP="0029122F">
      <w:pPr>
        <w:rPr>
          <w:rFonts w:ascii="Times New Roman" w:hAnsi="Times New Roman" w:cs="Times New Roman"/>
          <w:b/>
          <w:bCs/>
          <w:color w:val="000000"/>
        </w:rPr>
      </w:pPr>
    </w:p>
    <w:p w14:paraId="0F2E5697" w14:textId="77777777" w:rsidR="0029122F" w:rsidRPr="00455393" w:rsidRDefault="0029122F" w:rsidP="0029122F">
      <w:pPr>
        <w:rPr>
          <w:rFonts w:ascii="Times New Roman" w:hAnsi="Times New Roman" w:cs="Times New Roman"/>
          <w:b/>
          <w:bCs/>
          <w:color w:val="000000"/>
        </w:rPr>
      </w:pPr>
    </w:p>
    <w:p w14:paraId="7FBC97A6" w14:textId="77777777" w:rsidR="0029122F" w:rsidRPr="00455393" w:rsidRDefault="0029122F" w:rsidP="0029122F">
      <w:pPr>
        <w:rPr>
          <w:rFonts w:ascii="Times New Roman" w:hAnsi="Times New Roman" w:cs="Times New Roman"/>
          <w:b/>
          <w:bCs/>
          <w:color w:val="000000"/>
        </w:rPr>
      </w:pPr>
    </w:p>
    <w:p w14:paraId="0112AF5F" w14:textId="77777777" w:rsidR="0029122F" w:rsidRPr="00455393" w:rsidRDefault="0029122F" w:rsidP="0029122F">
      <w:pPr>
        <w:rPr>
          <w:rFonts w:ascii="Times New Roman" w:hAnsi="Times New Roman" w:cs="Times New Roman"/>
          <w:b/>
          <w:bCs/>
          <w:color w:val="000000"/>
        </w:rPr>
      </w:pPr>
    </w:p>
    <w:p w14:paraId="44DE90ED" w14:textId="77777777" w:rsidR="0029122F" w:rsidRPr="00455393" w:rsidRDefault="0029122F" w:rsidP="0029122F">
      <w:pPr>
        <w:rPr>
          <w:rFonts w:ascii="Times New Roman" w:hAnsi="Times New Roman" w:cs="Times New Roman"/>
          <w:b/>
          <w:bCs/>
          <w:color w:val="000000"/>
        </w:rPr>
      </w:pPr>
      <w:r w:rsidRPr="00455393">
        <w:rPr>
          <w:rFonts w:ascii="Times New Roman" w:hAnsi="Times New Roman" w:cs="Times New Roman"/>
          <w:b/>
          <w:bCs/>
          <w:color w:val="000000"/>
        </w:rPr>
        <w:lastRenderedPageBreak/>
        <w:t>Figure O1.</w:t>
      </w:r>
    </w:p>
    <w:p w14:paraId="296A9D88" w14:textId="77777777" w:rsidR="0029122F" w:rsidRPr="00455393" w:rsidRDefault="0029122F" w:rsidP="0029122F">
      <w:pPr>
        <w:rPr>
          <w:rFonts w:ascii="Times New Roman" w:hAnsi="Times New Roman" w:cs="Times New Roman"/>
          <w:color w:val="000000"/>
        </w:rPr>
      </w:pPr>
      <w:r w:rsidRPr="00455393">
        <w:rPr>
          <w:rFonts w:ascii="Times New Roman" w:hAnsi="Times New Roman" w:cs="Times New Roman"/>
          <w:i/>
          <w:iCs/>
          <w:color w:val="000000"/>
        </w:rPr>
        <w:t>Cost Avoidance Compared to Program Implementation Cost</w:t>
      </w:r>
    </w:p>
    <w:p w14:paraId="7A2A29A4" w14:textId="77777777" w:rsidR="0029122F" w:rsidRPr="00455393" w:rsidRDefault="0029122F" w:rsidP="0029122F">
      <w:pPr>
        <w:jc w:val="center"/>
        <w:rPr>
          <w:rFonts w:ascii="Times New Roman" w:hAnsi="Times New Roman" w:cs="Times New Roman"/>
        </w:rPr>
      </w:pPr>
      <w:r w:rsidRPr="00455393">
        <w:rPr>
          <w:rFonts w:ascii="Times New Roman" w:hAnsi="Times New Roman" w:cs="Times New Roman"/>
          <w:noProof/>
        </w:rPr>
        <w:drawing>
          <wp:inline distT="0" distB="0" distL="0" distR="0" wp14:anchorId="679B9E80" wp14:editId="581C70E3">
            <wp:extent cx="5486400" cy="3200400"/>
            <wp:effectExtent l="0" t="0" r="12700" b="12700"/>
            <wp:docPr id="16002732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8C8478" w14:textId="77777777" w:rsidR="0029122F" w:rsidRPr="00455393" w:rsidRDefault="0029122F" w:rsidP="0029122F">
      <w:pPr>
        <w:spacing w:before="100" w:beforeAutospacing="1" w:after="100" w:afterAutospacing="1" w:line="360" w:lineRule="auto"/>
        <w:rPr>
          <w:rFonts w:ascii="Times New Roman" w:eastAsia="Times New Roman" w:hAnsi="Times New Roman" w:cs="Times New Roman"/>
          <w:color w:val="000000"/>
          <w:kern w:val="0"/>
          <w14:ligatures w14:val="none"/>
        </w:rPr>
      </w:pPr>
      <w:r w:rsidRPr="00455393">
        <w:rPr>
          <w:rFonts w:ascii="Times New Roman" w:eastAsia="Times New Roman" w:hAnsi="Times New Roman" w:cs="Times New Roman"/>
          <w:b/>
          <w:bCs/>
          <w:color w:val="000000"/>
          <w:kern w:val="0"/>
          <w14:ligatures w14:val="none"/>
        </w:rPr>
        <w:t>Note.</w:t>
      </w:r>
      <w:r w:rsidRPr="00455393">
        <w:rPr>
          <w:rFonts w:ascii="Times New Roman" w:eastAsia="Times New Roman" w:hAnsi="Times New Roman" w:cs="Times New Roman"/>
          <w:color w:val="000000"/>
          <w:kern w:val="0"/>
          <w14:ligatures w14:val="none"/>
        </w:rPr>
        <w:t> The estimated total implementation cost of the Yeztugo PrEP program is approximately $11,400, including personnel time, training, laboratory monitoring, and administrative support. Lifetime treatment cost for a single HIV infection is estimated at approximately $500,000 (Centers for Disease Control and Prevention [CDC], 2021; Farnham et al., 2013). The figure demonstrates that preventing even one HIV infection results in substantial net cost savings, with increasing financial benefit as additional infections are prevented. This analysis reflects implementation costs only and does not include medication expenses, which are typically covered through insurance or external funding mechanisms.</w:t>
      </w:r>
    </w:p>
    <w:p w14:paraId="2FC2CE3B" w14:textId="77777777" w:rsidR="0029122F" w:rsidRPr="00455393" w:rsidRDefault="0029122F" w:rsidP="0029122F">
      <w:pPr>
        <w:rPr>
          <w:rFonts w:ascii="Times New Roman" w:hAnsi="Times New Roman" w:cs="Times New Roman"/>
          <w:b/>
          <w:bCs/>
        </w:rPr>
      </w:pPr>
    </w:p>
    <w:p w14:paraId="5F6E70B8" w14:textId="77777777" w:rsidR="0029122F" w:rsidRPr="00455393" w:rsidRDefault="0029122F" w:rsidP="0029122F">
      <w:pPr>
        <w:rPr>
          <w:rFonts w:ascii="Times New Roman" w:hAnsi="Times New Roman" w:cs="Times New Roman"/>
          <w:b/>
          <w:bCs/>
        </w:rPr>
      </w:pPr>
    </w:p>
    <w:p w14:paraId="2AE72108" w14:textId="77777777" w:rsidR="0029122F" w:rsidRPr="00455393" w:rsidRDefault="0029122F" w:rsidP="0029122F">
      <w:pPr>
        <w:rPr>
          <w:rFonts w:ascii="Times New Roman" w:hAnsi="Times New Roman" w:cs="Times New Roman"/>
          <w:b/>
          <w:bCs/>
        </w:rPr>
      </w:pPr>
    </w:p>
    <w:p w14:paraId="7FEAEFBE" w14:textId="77777777" w:rsidR="0029122F" w:rsidRDefault="0029122F" w:rsidP="0029122F">
      <w:pPr>
        <w:rPr>
          <w:rFonts w:ascii="Times New Roman" w:hAnsi="Times New Roman" w:cs="Times New Roman"/>
          <w:b/>
          <w:bCs/>
        </w:rPr>
      </w:pPr>
    </w:p>
    <w:p w14:paraId="72FC42EF" w14:textId="77777777" w:rsidR="0029122F" w:rsidRPr="00455393" w:rsidRDefault="0029122F" w:rsidP="0029122F">
      <w:pPr>
        <w:rPr>
          <w:rFonts w:ascii="Times New Roman" w:hAnsi="Times New Roman" w:cs="Times New Roman"/>
          <w:b/>
          <w:bCs/>
        </w:rPr>
      </w:pPr>
    </w:p>
    <w:p w14:paraId="52A0AEDA" w14:textId="77777777" w:rsidR="0029122F" w:rsidRPr="00455393" w:rsidRDefault="0029122F" w:rsidP="0029122F">
      <w:pPr>
        <w:rPr>
          <w:rFonts w:ascii="Times New Roman" w:hAnsi="Times New Roman" w:cs="Times New Roman"/>
          <w:b/>
          <w:bCs/>
        </w:rPr>
      </w:pPr>
    </w:p>
    <w:p w14:paraId="7960CDEA" w14:textId="77777777" w:rsidR="0029122F" w:rsidRPr="00455393" w:rsidRDefault="0029122F" w:rsidP="0029122F">
      <w:pPr>
        <w:rPr>
          <w:rFonts w:ascii="Times New Roman" w:hAnsi="Times New Roman" w:cs="Times New Roman"/>
          <w:b/>
          <w:bCs/>
        </w:rPr>
      </w:pPr>
      <w:r w:rsidRPr="00455393">
        <w:rPr>
          <w:rFonts w:ascii="Times New Roman" w:hAnsi="Times New Roman" w:cs="Times New Roman"/>
          <w:b/>
          <w:bCs/>
        </w:rPr>
        <w:lastRenderedPageBreak/>
        <w:t>Table O2.</w:t>
      </w:r>
    </w:p>
    <w:p w14:paraId="11C8795B" w14:textId="77777777" w:rsidR="0029122F" w:rsidRPr="00455393" w:rsidRDefault="0029122F" w:rsidP="0029122F">
      <w:pPr>
        <w:rPr>
          <w:rFonts w:ascii="Times New Roman" w:hAnsi="Times New Roman" w:cs="Times New Roman"/>
          <w:i/>
          <w:iCs/>
        </w:rPr>
      </w:pPr>
      <w:r w:rsidRPr="00455393">
        <w:rPr>
          <w:rFonts w:ascii="Times New Roman" w:hAnsi="Times New Roman" w:cs="Times New Roman"/>
          <w:i/>
          <w:iCs/>
        </w:rPr>
        <w:t>Return on Investment by Infections Prevented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9122F" w:rsidRPr="00455393" w14:paraId="1E56C30D" w14:textId="77777777" w:rsidTr="0050572D">
        <w:tc>
          <w:tcPr>
            <w:tcW w:w="2337" w:type="dxa"/>
            <w:tcBorders>
              <w:top w:val="single" w:sz="4" w:space="0" w:color="auto"/>
              <w:bottom w:val="single" w:sz="4" w:space="0" w:color="auto"/>
            </w:tcBorders>
            <w:shd w:val="clear" w:color="auto" w:fill="E8E8E8" w:themeFill="background2"/>
          </w:tcPr>
          <w:p w14:paraId="52E44863" w14:textId="77777777" w:rsidR="0029122F" w:rsidRPr="00455393" w:rsidRDefault="0029122F" w:rsidP="0050572D">
            <w:pPr>
              <w:rPr>
                <w:rFonts w:ascii="Times New Roman" w:hAnsi="Times New Roman" w:cs="Times New Roman"/>
                <w:b/>
                <w:bCs/>
              </w:rPr>
            </w:pPr>
            <w:r w:rsidRPr="00455393">
              <w:rPr>
                <w:rFonts w:ascii="Times New Roman" w:hAnsi="Times New Roman" w:cs="Times New Roman"/>
                <w:b/>
                <w:bCs/>
              </w:rPr>
              <w:t>Scenario</w:t>
            </w:r>
          </w:p>
        </w:tc>
        <w:tc>
          <w:tcPr>
            <w:tcW w:w="2337" w:type="dxa"/>
            <w:tcBorders>
              <w:top w:val="single" w:sz="4" w:space="0" w:color="auto"/>
              <w:bottom w:val="single" w:sz="4" w:space="0" w:color="auto"/>
            </w:tcBorders>
            <w:shd w:val="clear" w:color="auto" w:fill="E8E8E8" w:themeFill="background2"/>
          </w:tcPr>
          <w:p w14:paraId="1AB9DDE0" w14:textId="77777777" w:rsidR="0029122F" w:rsidRPr="00455393" w:rsidRDefault="0029122F" w:rsidP="0050572D">
            <w:pPr>
              <w:jc w:val="center"/>
              <w:rPr>
                <w:rFonts w:ascii="Times New Roman" w:hAnsi="Times New Roman" w:cs="Times New Roman"/>
                <w:b/>
                <w:bCs/>
              </w:rPr>
            </w:pPr>
            <w:r w:rsidRPr="00455393">
              <w:rPr>
                <w:rFonts w:ascii="Times New Roman" w:hAnsi="Times New Roman" w:cs="Times New Roman"/>
                <w:b/>
                <w:bCs/>
              </w:rPr>
              <w:t>Infections Prevented</w:t>
            </w:r>
          </w:p>
        </w:tc>
        <w:tc>
          <w:tcPr>
            <w:tcW w:w="2338" w:type="dxa"/>
            <w:tcBorders>
              <w:top w:val="single" w:sz="4" w:space="0" w:color="auto"/>
              <w:bottom w:val="single" w:sz="4" w:space="0" w:color="auto"/>
            </w:tcBorders>
            <w:shd w:val="clear" w:color="auto" w:fill="E8E8E8" w:themeFill="background2"/>
          </w:tcPr>
          <w:p w14:paraId="6781A108" w14:textId="77777777" w:rsidR="0029122F" w:rsidRPr="00455393" w:rsidRDefault="0029122F" w:rsidP="0050572D">
            <w:pPr>
              <w:jc w:val="right"/>
              <w:rPr>
                <w:rFonts w:ascii="Times New Roman" w:hAnsi="Times New Roman" w:cs="Times New Roman"/>
                <w:b/>
                <w:bCs/>
              </w:rPr>
            </w:pPr>
            <w:r w:rsidRPr="00455393">
              <w:rPr>
                <w:rFonts w:ascii="Times New Roman" w:hAnsi="Times New Roman" w:cs="Times New Roman"/>
                <w:b/>
                <w:bCs/>
              </w:rPr>
              <w:t>Net Savings ($)</w:t>
            </w:r>
          </w:p>
        </w:tc>
        <w:tc>
          <w:tcPr>
            <w:tcW w:w="2338" w:type="dxa"/>
            <w:tcBorders>
              <w:top w:val="single" w:sz="4" w:space="0" w:color="auto"/>
              <w:bottom w:val="single" w:sz="4" w:space="0" w:color="auto"/>
            </w:tcBorders>
            <w:shd w:val="clear" w:color="auto" w:fill="E8E8E8" w:themeFill="background2"/>
          </w:tcPr>
          <w:p w14:paraId="730B94C2" w14:textId="77777777" w:rsidR="0029122F" w:rsidRPr="00455393" w:rsidRDefault="0029122F" w:rsidP="0050572D">
            <w:pPr>
              <w:jc w:val="right"/>
              <w:rPr>
                <w:rFonts w:ascii="Times New Roman" w:hAnsi="Times New Roman" w:cs="Times New Roman"/>
                <w:b/>
                <w:bCs/>
              </w:rPr>
            </w:pPr>
            <w:r w:rsidRPr="00455393">
              <w:rPr>
                <w:rFonts w:ascii="Times New Roman" w:hAnsi="Times New Roman" w:cs="Times New Roman"/>
                <w:b/>
                <w:bCs/>
              </w:rPr>
              <w:t>ROI (%)</w:t>
            </w:r>
          </w:p>
        </w:tc>
      </w:tr>
      <w:tr w:rsidR="0029122F" w:rsidRPr="00455393" w14:paraId="415CA643" w14:textId="77777777" w:rsidTr="0050572D">
        <w:tc>
          <w:tcPr>
            <w:tcW w:w="2337" w:type="dxa"/>
            <w:tcBorders>
              <w:top w:val="single" w:sz="4" w:space="0" w:color="auto"/>
            </w:tcBorders>
          </w:tcPr>
          <w:p w14:paraId="018584D8" w14:textId="77777777" w:rsidR="0029122F" w:rsidRPr="00455393" w:rsidRDefault="0029122F" w:rsidP="0050572D">
            <w:pPr>
              <w:rPr>
                <w:rFonts w:ascii="Times New Roman" w:hAnsi="Times New Roman" w:cs="Times New Roman"/>
                <w:sz w:val="22"/>
                <w:szCs w:val="22"/>
              </w:rPr>
            </w:pPr>
            <w:r w:rsidRPr="00455393">
              <w:rPr>
                <w:rFonts w:ascii="Times New Roman" w:hAnsi="Times New Roman" w:cs="Times New Roman"/>
                <w:sz w:val="22"/>
                <w:szCs w:val="22"/>
              </w:rPr>
              <w:t>Minimal Impact</w:t>
            </w:r>
          </w:p>
        </w:tc>
        <w:tc>
          <w:tcPr>
            <w:tcW w:w="2337" w:type="dxa"/>
            <w:tcBorders>
              <w:top w:val="single" w:sz="4" w:space="0" w:color="auto"/>
            </w:tcBorders>
          </w:tcPr>
          <w:p w14:paraId="7A461201" w14:textId="77777777" w:rsidR="0029122F" w:rsidRPr="00455393" w:rsidRDefault="0029122F" w:rsidP="0050572D">
            <w:pPr>
              <w:jc w:val="center"/>
              <w:rPr>
                <w:rFonts w:ascii="Times New Roman" w:hAnsi="Times New Roman" w:cs="Times New Roman"/>
                <w:sz w:val="22"/>
                <w:szCs w:val="22"/>
              </w:rPr>
            </w:pPr>
            <w:r w:rsidRPr="00455393">
              <w:rPr>
                <w:rFonts w:ascii="Times New Roman" w:hAnsi="Times New Roman" w:cs="Times New Roman"/>
                <w:sz w:val="22"/>
                <w:szCs w:val="22"/>
              </w:rPr>
              <w:t>1</w:t>
            </w:r>
          </w:p>
        </w:tc>
        <w:tc>
          <w:tcPr>
            <w:tcW w:w="2338" w:type="dxa"/>
            <w:tcBorders>
              <w:top w:val="single" w:sz="4" w:space="0" w:color="auto"/>
            </w:tcBorders>
          </w:tcPr>
          <w:p w14:paraId="6D2DB1C3"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488,600</w:t>
            </w:r>
          </w:p>
        </w:tc>
        <w:tc>
          <w:tcPr>
            <w:tcW w:w="2338" w:type="dxa"/>
            <w:tcBorders>
              <w:top w:val="single" w:sz="4" w:space="0" w:color="auto"/>
            </w:tcBorders>
          </w:tcPr>
          <w:p w14:paraId="0D0985BF"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4,286%</w:t>
            </w:r>
          </w:p>
        </w:tc>
      </w:tr>
      <w:tr w:rsidR="0029122F" w:rsidRPr="00455393" w14:paraId="7274519B" w14:textId="77777777" w:rsidTr="0050572D">
        <w:tc>
          <w:tcPr>
            <w:tcW w:w="2337" w:type="dxa"/>
          </w:tcPr>
          <w:p w14:paraId="1A6322D2" w14:textId="77777777" w:rsidR="0029122F" w:rsidRPr="00455393" w:rsidRDefault="0029122F" w:rsidP="0050572D">
            <w:pPr>
              <w:rPr>
                <w:rFonts w:ascii="Times New Roman" w:hAnsi="Times New Roman" w:cs="Times New Roman"/>
                <w:sz w:val="22"/>
                <w:szCs w:val="22"/>
              </w:rPr>
            </w:pPr>
            <w:r w:rsidRPr="00455393">
              <w:rPr>
                <w:rFonts w:ascii="Times New Roman" w:hAnsi="Times New Roman" w:cs="Times New Roman"/>
                <w:sz w:val="22"/>
                <w:szCs w:val="22"/>
              </w:rPr>
              <w:t>Moderate Impact</w:t>
            </w:r>
          </w:p>
        </w:tc>
        <w:tc>
          <w:tcPr>
            <w:tcW w:w="2337" w:type="dxa"/>
          </w:tcPr>
          <w:p w14:paraId="683B9AE4" w14:textId="77777777" w:rsidR="0029122F" w:rsidRPr="00455393" w:rsidRDefault="0029122F" w:rsidP="0050572D">
            <w:pPr>
              <w:jc w:val="center"/>
              <w:rPr>
                <w:rFonts w:ascii="Times New Roman" w:hAnsi="Times New Roman" w:cs="Times New Roman"/>
                <w:sz w:val="22"/>
                <w:szCs w:val="22"/>
              </w:rPr>
            </w:pPr>
            <w:r w:rsidRPr="00455393">
              <w:rPr>
                <w:rFonts w:ascii="Times New Roman" w:hAnsi="Times New Roman" w:cs="Times New Roman"/>
                <w:sz w:val="22"/>
                <w:szCs w:val="22"/>
              </w:rPr>
              <w:t>2</w:t>
            </w:r>
          </w:p>
        </w:tc>
        <w:tc>
          <w:tcPr>
            <w:tcW w:w="2338" w:type="dxa"/>
          </w:tcPr>
          <w:p w14:paraId="51B21D68"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988,600</w:t>
            </w:r>
          </w:p>
        </w:tc>
        <w:tc>
          <w:tcPr>
            <w:tcW w:w="2338" w:type="dxa"/>
          </w:tcPr>
          <w:p w14:paraId="391EECEF"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8,672%</w:t>
            </w:r>
          </w:p>
        </w:tc>
      </w:tr>
      <w:tr w:rsidR="0029122F" w:rsidRPr="00455393" w14:paraId="396338B3" w14:textId="77777777" w:rsidTr="0050572D">
        <w:tc>
          <w:tcPr>
            <w:tcW w:w="2337" w:type="dxa"/>
            <w:tcBorders>
              <w:bottom w:val="single" w:sz="4" w:space="0" w:color="auto"/>
            </w:tcBorders>
          </w:tcPr>
          <w:p w14:paraId="736B9DC4" w14:textId="77777777" w:rsidR="0029122F" w:rsidRPr="00455393" w:rsidRDefault="0029122F" w:rsidP="0050572D">
            <w:pPr>
              <w:rPr>
                <w:rFonts w:ascii="Times New Roman" w:hAnsi="Times New Roman" w:cs="Times New Roman"/>
                <w:sz w:val="22"/>
                <w:szCs w:val="22"/>
              </w:rPr>
            </w:pPr>
            <w:r w:rsidRPr="00455393">
              <w:rPr>
                <w:rFonts w:ascii="Times New Roman" w:hAnsi="Times New Roman" w:cs="Times New Roman"/>
                <w:sz w:val="22"/>
                <w:szCs w:val="22"/>
              </w:rPr>
              <w:t>High Impact</w:t>
            </w:r>
          </w:p>
        </w:tc>
        <w:tc>
          <w:tcPr>
            <w:tcW w:w="2337" w:type="dxa"/>
            <w:tcBorders>
              <w:bottom w:val="single" w:sz="4" w:space="0" w:color="auto"/>
            </w:tcBorders>
          </w:tcPr>
          <w:p w14:paraId="02906F27" w14:textId="77777777" w:rsidR="0029122F" w:rsidRPr="00455393" w:rsidRDefault="0029122F" w:rsidP="0050572D">
            <w:pPr>
              <w:jc w:val="center"/>
              <w:rPr>
                <w:rFonts w:ascii="Times New Roman" w:hAnsi="Times New Roman" w:cs="Times New Roman"/>
                <w:sz w:val="22"/>
                <w:szCs w:val="22"/>
              </w:rPr>
            </w:pPr>
            <w:r w:rsidRPr="00455393">
              <w:rPr>
                <w:rFonts w:ascii="Times New Roman" w:hAnsi="Times New Roman" w:cs="Times New Roman"/>
                <w:sz w:val="22"/>
                <w:szCs w:val="22"/>
              </w:rPr>
              <w:t>3</w:t>
            </w:r>
          </w:p>
        </w:tc>
        <w:tc>
          <w:tcPr>
            <w:tcW w:w="2338" w:type="dxa"/>
            <w:tcBorders>
              <w:bottom w:val="single" w:sz="4" w:space="0" w:color="auto"/>
            </w:tcBorders>
          </w:tcPr>
          <w:p w14:paraId="7A04E3E3"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1,488,600</w:t>
            </w:r>
          </w:p>
        </w:tc>
        <w:tc>
          <w:tcPr>
            <w:tcW w:w="2338" w:type="dxa"/>
            <w:tcBorders>
              <w:bottom w:val="single" w:sz="4" w:space="0" w:color="auto"/>
            </w:tcBorders>
          </w:tcPr>
          <w:p w14:paraId="28A76891"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13,057%</w:t>
            </w:r>
          </w:p>
        </w:tc>
      </w:tr>
    </w:tbl>
    <w:p w14:paraId="2E830372" w14:textId="77777777" w:rsidR="0029122F" w:rsidRPr="00455393" w:rsidRDefault="0029122F" w:rsidP="0029122F">
      <w:pPr>
        <w:spacing w:before="100" w:beforeAutospacing="1" w:after="100" w:afterAutospacing="1" w:line="360" w:lineRule="auto"/>
        <w:rPr>
          <w:rFonts w:ascii="Times New Roman" w:eastAsia="Times New Roman" w:hAnsi="Times New Roman" w:cs="Times New Roman"/>
          <w:color w:val="000000"/>
          <w:kern w:val="0"/>
          <w14:ligatures w14:val="none"/>
        </w:rPr>
      </w:pPr>
      <w:r w:rsidRPr="00455393">
        <w:rPr>
          <w:rFonts w:ascii="Times New Roman" w:eastAsia="Times New Roman" w:hAnsi="Times New Roman" w:cs="Times New Roman"/>
          <w:b/>
          <w:bCs/>
          <w:color w:val="000000"/>
          <w:kern w:val="0"/>
          <w14:ligatures w14:val="none"/>
        </w:rPr>
        <w:t>Note.</w:t>
      </w:r>
      <w:r w:rsidRPr="00455393">
        <w:rPr>
          <w:rFonts w:ascii="Times New Roman" w:eastAsia="Times New Roman" w:hAnsi="Times New Roman" w:cs="Times New Roman"/>
          <w:color w:val="000000"/>
          <w:kern w:val="0"/>
          <w14:ligatures w14:val="none"/>
        </w:rPr>
        <w:t> ROI was calculated by comparing estimated program implementation costs ($11,400) to lifetime HIV treatment costs of approximately $500,000 per infection (Centers for Disease Control and Prevention [CDC], 2021; Farnham et al., 2013). Even under conservative assumptions, preventing a single HIV infection yields a substantial return on investment, with ROI increasing significantly as additional infections are prevented. This analysis reflects implementation costs only and does not include medication expenses.</w:t>
      </w:r>
    </w:p>
    <w:p w14:paraId="7327ECC6" w14:textId="77777777" w:rsidR="0029122F" w:rsidRPr="00455393" w:rsidRDefault="0029122F" w:rsidP="0029122F">
      <w:pPr>
        <w:rPr>
          <w:rFonts w:ascii="Times New Roman" w:hAnsi="Times New Roman" w:cs="Times New Roman"/>
          <w:b/>
          <w:bCs/>
        </w:rPr>
      </w:pPr>
    </w:p>
    <w:p w14:paraId="5DB36941" w14:textId="77777777" w:rsidR="0029122F" w:rsidRPr="00455393" w:rsidRDefault="0029122F" w:rsidP="0029122F">
      <w:pPr>
        <w:rPr>
          <w:rFonts w:ascii="Times New Roman" w:hAnsi="Times New Roman" w:cs="Times New Roman"/>
          <w:b/>
          <w:bCs/>
        </w:rPr>
      </w:pPr>
    </w:p>
    <w:p w14:paraId="46D9D015" w14:textId="77777777" w:rsidR="0029122F" w:rsidRPr="00455393" w:rsidRDefault="0029122F" w:rsidP="0029122F">
      <w:pPr>
        <w:rPr>
          <w:rFonts w:ascii="Times New Roman" w:hAnsi="Times New Roman" w:cs="Times New Roman"/>
          <w:b/>
          <w:bCs/>
        </w:rPr>
      </w:pPr>
    </w:p>
    <w:p w14:paraId="2D109DEE" w14:textId="77777777" w:rsidR="0029122F" w:rsidRPr="00455393" w:rsidRDefault="0029122F" w:rsidP="0029122F">
      <w:pPr>
        <w:rPr>
          <w:rFonts w:ascii="Times New Roman" w:hAnsi="Times New Roman" w:cs="Times New Roman"/>
          <w:b/>
          <w:bCs/>
        </w:rPr>
      </w:pPr>
    </w:p>
    <w:p w14:paraId="7187874E" w14:textId="77777777" w:rsidR="0029122F" w:rsidRPr="00455393" w:rsidRDefault="0029122F" w:rsidP="0029122F">
      <w:pPr>
        <w:rPr>
          <w:rFonts w:ascii="Times New Roman" w:hAnsi="Times New Roman" w:cs="Times New Roman"/>
          <w:b/>
          <w:bCs/>
        </w:rPr>
      </w:pPr>
    </w:p>
    <w:p w14:paraId="775E9EFD" w14:textId="77777777" w:rsidR="0029122F" w:rsidRPr="00455393" w:rsidRDefault="0029122F" w:rsidP="0029122F">
      <w:pPr>
        <w:rPr>
          <w:rFonts w:ascii="Times New Roman" w:hAnsi="Times New Roman" w:cs="Times New Roman"/>
          <w:b/>
          <w:bCs/>
        </w:rPr>
      </w:pPr>
    </w:p>
    <w:p w14:paraId="04064015" w14:textId="77777777" w:rsidR="0029122F" w:rsidRPr="00455393" w:rsidRDefault="0029122F" w:rsidP="0029122F">
      <w:pPr>
        <w:rPr>
          <w:rFonts w:ascii="Times New Roman" w:hAnsi="Times New Roman" w:cs="Times New Roman"/>
          <w:b/>
          <w:bCs/>
        </w:rPr>
      </w:pPr>
    </w:p>
    <w:p w14:paraId="7ED515F4" w14:textId="77777777" w:rsidR="0029122F" w:rsidRPr="00455393" w:rsidRDefault="0029122F" w:rsidP="0029122F">
      <w:pPr>
        <w:rPr>
          <w:rFonts w:ascii="Times New Roman" w:hAnsi="Times New Roman" w:cs="Times New Roman"/>
          <w:b/>
          <w:bCs/>
        </w:rPr>
      </w:pPr>
    </w:p>
    <w:p w14:paraId="4FB837E9" w14:textId="77777777" w:rsidR="0029122F" w:rsidRPr="00455393" w:rsidRDefault="0029122F" w:rsidP="0029122F">
      <w:pPr>
        <w:rPr>
          <w:rFonts w:ascii="Times New Roman" w:hAnsi="Times New Roman" w:cs="Times New Roman"/>
          <w:b/>
          <w:bCs/>
        </w:rPr>
      </w:pPr>
    </w:p>
    <w:p w14:paraId="6945D2AA" w14:textId="77777777" w:rsidR="0029122F" w:rsidRPr="00455393" w:rsidRDefault="0029122F" w:rsidP="0029122F">
      <w:pPr>
        <w:rPr>
          <w:rFonts w:ascii="Times New Roman" w:hAnsi="Times New Roman" w:cs="Times New Roman"/>
          <w:b/>
          <w:bCs/>
        </w:rPr>
      </w:pPr>
    </w:p>
    <w:p w14:paraId="36AFA89D" w14:textId="77777777" w:rsidR="0029122F" w:rsidRPr="00455393" w:rsidRDefault="0029122F" w:rsidP="0029122F">
      <w:pPr>
        <w:rPr>
          <w:rFonts w:ascii="Times New Roman" w:hAnsi="Times New Roman" w:cs="Times New Roman"/>
          <w:b/>
          <w:bCs/>
        </w:rPr>
      </w:pPr>
    </w:p>
    <w:p w14:paraId="0BE4553F" w14:textId="77777777" w:rsidR="0029122F" w:rsidRPr="00455393" w:rsidRDefault="0029122F" w:rsidP="0029122F">
      <w:pPr>
        <w:rPr>
          <w:rFonts w:ascii="Times New Roman" w:hAnsi="Times New Roman" w:cs="Times New Roman"/>
          <w:b/>
          <w:bCs/>
        </w:rPr>
      </w:pPr>
    </w:p>
    <w:p w14:paraId="51A70CEE" w14:textId="77777777" w:rsidR="0029122F" w:rsidRPr="00455393" w:rsidRDefault="0029122F" w:rsidP="0029122F">
      <w:pPr>
        <w:rPr>
          <w:rFonts w:ascii="Times New Roman" w:hAnsi="Times New Roman" w:cs="Times New Roman"/>
          <w:b/>
          <w:bCs/>
        </w:rPr>
      </w:pPr>
    </w:p>
    <w:p w14:paraId="10A7E566" w14:textId="77777777" w:rsidR="0029122F" w:rsidRPr="00455393" w:rsidRDefault="0029122F" w:rsidP="0029122F">
      <w:pPr>
        <w:rPr>
          <w:rFonts w:ascii="Times New Roman" w:hAnsi="Times New Roman" w:cs="Times New Roman"/>
          <w:b/>
          <w:bCs/>
        </w:rPr>
      </w:pPr>
    </w:p>
    <w:p w14:paraId="141832DA" w14:textId="77777777" w:rsidR="0029122F" w:rsidRPr="00455393" w:rsidRDefault="0029122F" w:rsidP="0029122F">
      <w:pPr>
        <w:rPr>
          <w:rFonts w:ascii="Times New Roman" w:hAnsi="Times New Roman" w:cs="Times New Roman"/>
          <w:b/>
          <w:bCs/>
        </w:rPr>
      </w:pPr>
    </w:p>
    <w:p w14:paraId="7F63A2E4" w14:textId="77777777" w:rsidR="0029122F" w:rsidRDefault="0029122F" w:rsidP="0029122F">
      <w:pPr>
        <w:rPr>
          <w:rFonts w:ascii="Times New Roman" w:hAnsi="Times New Roman" w:cs="Times New Roman"/>
          <w:b/>
          <w:bCs/>
        </w:rPr>
      </w:pPr>
    </w:p>
    <w:p w14:paraId="2C6D12E5" w14:textId="77777777" w:rsidR="0029122F" w:rsidRPr="00455393" w:rsidRDefault="0029122F" w:rsidP="0029122F">
      <w:pPr>
        <w:rPr>
          <w:rFonts w:ascii="Times New Roman" w:hAnsi="Times New Roman" w:cs="Times New Roman"/>
          <w:b/>
          <w:bCs/>
        </w:rPr>
      </w:pPr>
    </w:p>
    <w:p w14:paraId="6F7A9DA6" w14:textId="77777777" w:rsidR="0029122F" w:rsidRPr="00455393" w:rsidRDefault="0029122F" w:rsidP="0029122F">
      <w:pPr>
        <w:rPr>
          <w:rFonts w:ascii="Times New Roman" w:hAnsi="Times New Roman" w:cs="Times New Roman"/>
          <w:b/>
          <w:bCs/>
        </w:rPr>
      </w:pPr>
      <w:r w:rsidRPr="00455393">
        <w:rPr>
          <w:rFonts w:ascii="Times New Roman" w:hAnsi="Times New Roman" w:cs="Times New Roman"/>
          <w:b/>
          <w:bCs/>
        </w:rPr>
        <w:t>Figure O2.</w:t>
      </w:r>
    </w:p>
    <w:p w14:paraId="4DFEEDED" w14:textId="77777777" w:rsidR="0029122F" w:rsidRPr="00455393" w:rsidRDefault="0029122F" w:rsidP="0029122F">
      <w:pPr>
        <w:rPr>
          <w:rFonts w:ascii="Times New Roman" w:hAnsi="Times New Roman" w:cs="Times New Roman"/>
        </w:rPr>
      </w:pPr>
      <w:r w:rsidRPr="00455393">
        <w:rPr>
          <w:rFonts w:ascii="Times New Roman" w:hAnsi="Times New Roman" w:cs="Times New Roman"/>
          <w:i/>
          <w:iCs/>
        </w:rPr>
        <w:t>Distribution of Long-Acting PrEP Program Implementation Costs</w:t>
      </w:r>
    </w:p>
    <w:p w14:paraId="47FA8A45" w14:textId="77777777" w:rsidR="0029122F" w:rsidRPr="00455393" w:rsidRDefault="0029122F" w:rsidP="0029122F">
      <w:pPr>
        <w:jc w:val="center"/>
        <w:rPr>
          <w:rFonts w:ascii="Times New Roman" w:hAnsi="Times New Roman" w:cs="Times New Roman"/>
        </w:rPr>
      </w:pPr>
      <w:r w:rsidRPr="00455393">
        <w:rPr>
          <w:rFonts w:ascii="Times New Roman" w:hAnsi="Times New Roman" w:cs="Times New Roman"/>
          <w:noProof/>
        </w:rPr>
        <w:drawing>
          <wp:inline distT="0" distB="0" distL="0" distR="0" wp14:anchorId="56238CE1" wp14:editId="2CE07A77">
            <wp:extent cx="5486400" cy="3200400"/>
            <wp:effectExtent l="0" t="0" r="12700" b="12700"/>
            <wp:docPr id="71936345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97457E" w14:textId="77777777" w:rsidR="0029122F" w:rsidRPr="00455393" w:rsidRDefault="0029122F" w:rsidP="0029122F">
      <w:pPr>
        <w:spacing w:before="100" w:beforeAutospacing="1" w:after="100" w:afterAutospacing="1" w:line="360" w:lineRule="auto"/>
        <w:rPr>
          <w:rFonts w:ascii="Times New Roman" w:eastAsia="Times New Roman" w:hAnsi="Times New Roman" w:cs="Times New Roman"/>
          <w:color w:val="000000"/>
          <w:kern w:val="0"/>
          <w14:ligatures w14:val="none"/>
        </w:rPr>
      </w:pPr>
      <w:r w:rsidRPr="00455393">
        <w:rPr>
          <w:rFonts w:ascii="Times New Roman" w:eastAsia="Times New Roman" w:hAnsi="Times New Roman" w:cs="Times New Roman"/>
          <w:b/>
          <w:bCs/>
          <w:color w:val="000000"/>
          <w:kern w:val="0"/>
          <w14:ligatures w14:val="none"/>
        </w:rPr>
        <w:t>Note.</w:t>
      </w:r>
      <w:r w:rsidRPr="00455393">
        <w:rPr>
          <w:rFonts w:ascii="Times New Roman" w:eastAsia="Times New Roman" w:hAnsi="Times New Roman" w:cs="Times New Roman"/>
          <w:color w:val="000000"/>
          <w:kern w:val="0"/>
          <w14:ligatures w14:val="none"/>
        </w:rPr>
        <w:t> The total estimated implementation cost of the Yeztugo PrEP program is $11,400. The largest proportion of costs is attributed to personnel time, particularly MSN student implementation effort, followed by laboratory monitoring and staff training. These costs reflect initial program development and operational setup and do not include medication expenses, which are typically covered through insurance or external funding sources.</w:t>
      </w:r>
    </w:p>
    <w:p w14:paraId="5351D71A" w14:textId="77777777" w:rsidR="0029122F" w:rsidRPr="00455393" w:rsidRDefault="0029122F" w:rsidP="0029122F">
      <w:pPr>
        <w:rPr>
          <w:rFonts w:ascii="Times New Roman" w:hAnsi="Times New Roman" w:cs="Times New Roman"/>
          <w:b/>
          <w:bCs/>
        </w:rPr>
      </w:pPr>
      <w:r w:rsidRPr="00455393">
        <w:rPr>
          <w:rFonts w:ascii="Times New Roman" w:hAnsi="Times New Roman" w:cs="Times New Roman"/>
          <w:b/>
          <w:bCs/>
        </w:rPr>
        <w:t>Table O3.</w:t>
      </w:r>
    </w:p>
    <w:p w14:paraId="05B5E2AE" w14:textId="77777777" w:rsidR="0029122F" w:rsidRPr="00455393" w:rsidRDefault="0029122F" w:rsidP="0029122F">
      <w:pPr>
        <w:rPr>
          <w:rFonts w:ascii="Times New Roman" w:hAnsi="Times New Roman" w:cs="Times New Roman"/>
          <w:i/>
          <w:iCs/>
        </w:rPr>
      </w:pPr>
      <w:r w:rsidRPr="00455393">
        <w:rPr>
          <w:rFonts w:ascii="Times New Roman" w:hAnsi="Times New Roman" w:cs="Times New Roman"/>
          <w:i/>
          <w:iCs/>
        </w:rPr>
        <w:t>Break-Even Analysis for Long-Acting PrEP Program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914"/>
        <w:gridCol w:w="3279"/>
      </w:tblGrid>
      <w:tr w:rsidR="0029122F" w:rsidRPr="00455393" w14:paraId="209D1CA0" w14:textId="77777777" w:rsidTr="0050572D">
        <w:trPr>
          <w:jc w:val="center"/>
        </w:trPr>
        <w:tc>
          <w:tcPr>
            <w:tcW w:w="0" w:type="auto"/>
            <w:tcBorders>
              <w:top w:val="single" w:sz="4" w:space="0" w:color="auto"/>
              <w:bottom w:val="single" w:sz="4" w:space="0" w:color="auto"/>
            </w:tcBorders>
            <w:shd w:val="clear" w:color="auto" w:fill="E8E8E8" w:themeFill="background2"/>
          </w:tcPr>
          <w:p w14:paraId="2DC5E5B5" w14:textId="77777777" w:rsidR="0029122F" w:rsidRPr="00455393" w:rsidRDefault="0029122F" w:rsidP="0050572D">
            <w:pPr>
              <w:jc w:val="right"/>
              <w:rPr>
                <w:rFonts w:ascii="Times New Roman" w:hAnsi="Times New Roman" w:cs="Times New Roman"/>
                <w:b/>
                <w:bCs/>
              </w:rPr>
            </w:pPr>
            <w:r w:rsidRPr="00455393">
              <w:rPr>
                <w:rFonts w:ascii="Times New Roman" w:hAnsi="Times New Roman" w:cs="Times New Roman"/>
                <w:b/>
                <w:bCs/>
              </w:rPr>
              <w:t>Program Cost ($)</w:t>
            </w:r>
          </w:p>
        </w:tc>
        <w:tc>
          <w:tcPr>
            <w:tcW w:w="0" w:type="auto"/>
            <w:tcBorders>
              <w:top w:val="single" w:sz="4" w:space="0" w:color="auto"/>
              <w:bottom w:val="single" w:sz="4" w:space="0" w:color="auto"/>
            </w:tcBorders>
            <w:shd w:val="clear" w:color="auto" w:fill="E8E8E8" w:themeFill="background2"/>
          </w:tcPr>
          <w:p w14:paraId="1C0A28F2" w14:textId="77777777" w:rsidR="0029122F" w:rsidRPr="00455393" w:rsidRDefault="0029122F" w:rsidP="0050572D">
            <w:pPr>
              <w:jc w:val="right"/>
              <w:rPr>
                <w:rFonts w:ascii="Times New Roman" w:hAnsi="Times New Roman" w:cs="Times New Roman"/>
                <w:b/>
                <w:bCs/>
              </w:rPr>
            </w:pPr>
            <w:r w:rsidRPr="00455393">
              <w:rPr>
                <w:rFonts w:ascii="Times New Roman" w:hAnsi="Times New Roman" w:cs="Times New Roman"/>
                <w:b/>
                <w:bCs/>
              </w:rPr>
              <w:t>Cost per HIV Infection ($)</w:t>
            </w:r>
          </w:p>
        </w:tc>
        <w:tc>
          <w:tcPr>
            <w:tcW w:w="0" w:type="auto"/>
            <w:tcBorders>
              <w:top w:val="single" w:sz="4" w:space="0" w:color="auto"/>
              <w:bottom w:val="single" w:sz="4" w:space="0" w:color="auto"/>
            </w:tcBorders>
            <w:shd w:val="clear" w:color="auto" w:fill="E8E8E8" w:themeFill="background2"/>
          </w:tcPr>
          <w:p w14:paraId="4CD19DBC" w14:textId="77777777" w:rsidR="0029122F" w:rsidRPr="00455393" w:rsidRDefault="0029122F" w:rsidP="0050572D">
            <w:pPr>
              <w:jc w:val="center"/>
              <w:rPr>
                <w:rFonts w:ascii="Times New Roman" w:hAnsi="Times New Roman" w:cs="Times New Roman"/>
                <w:b/>
                <w:bCs/>
              </w:rPr>
            </w:pPr>
            <w:r w:rsidRPr="00455393">
              <w:rPr>
                <w:rFonts w:ascii="Times New Roman" w:hAnsi="Times New Roman" w:cs="Times New Roman"/>
                <w:b/>
                <w:bCs/>
              </w:rPr>
              <w:t>Break-Even Point (Infections)</w:t>
            </w:r>
          </w:p>
        </w:tc>
      </w:tr>
      <w:tr w:rsidR="0029122F" w:rsidRPr="00455393" w14:paraId="589C2DB1" w14:textId="77777777" w:rsidTr="0050572D">
        <w:trPr>
          <w:jc w:val="center"/>
        </w:trPr>
        <w:tc>
          <w:tcPr>
            <w:tcW w:w="0" w:type="auto"/>
            <w:tcBorders>
              <w:top w:val="single" w:sz="4" w:space="0" w:color="auto"/>
            </w:tcBorders>
          </w:tcPr>
          <w:p w14:paraId="465FEC1C"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11,400</w:t>
            </w:r>
          </w:p>
        </w:tc>
        <w:tc>
          <w:tcPr>
            <w:tcW w:w="0" w:type="auto"/>
            <w:tcBorders>
              <w:top w:val="single" w:sz="4" w:space="0" w:color="auto"/>
            </w:tcBorders>
          </w:tcPr>
          <w:p w14:paraId="68F1BAAC" w14:textId="77777777" w:rsidR="0029122F" w:rsidRPr="00455393" w:rsidRDefault="0029122F" w:rsidP="0050572D">
            <w:pPr>
              <w:jc w:val="right"/>
              <w:rPr>
                <w:rFonts w:ascii="Times New Roman" w:hAnsi="Times New Roman" w:cs="Times New Roman"/>
                <w:sz w:val="22"/>
                <w:szCs w:val="22"/>
              </w:rPr>
            </w:pPr>
            <w:r w:rsidRPr="00455393">
              <w:rPr>
                <w:rFonts w:ascii="Times New Roman" w:hAnsi="Times New Roman" w:cs="Times New Roman"/>
                <w:sz w:val="22"/>
                <w:szCs w:val="22"/>
              </w:rPr>
              <w:t>500,000</w:t>
            </w:r>
          </w:p>
        </w:tc>
        <w:tc>
          <w:tcPr>
            <w:tcW w:w="0" w:type="auto"/>
            <w:tcBorders>
              <w:top w:val="single" w:sz="4" w:space="0" w:color="auto"/>
            </w:tcBorders>
          </w:tcPr>
          <w:p w14:paraId="1C9343C9" w14:textId="77777777" w:rsidR="0029122F" w:rsidRPr="00455393" w:rsidRDefault="0029122F" w:rsidP="0050572D">
            <w:pPr>
              <w:jc w:val="center"/>
              <w:rPr>
                <w:rFonts w:ascii="Times New Roman" w:hAnsi="Times New Roman" w:cs="Times New Roman"/>
                <w:sz w:val="22"/>
                <w:szCs w:val="22"/>
              </w:rPr>
            </w:pPr>
            <w:r w:rsidRPr="00455393">
              <w:rPr>
                <w:rFonts w:ascii="Times New Roman" w:hAnsi="Times New Roman" w:cs="Times New Roman"/>
                <w:sz w:val="22"/>
                <w:szCs w:val="22"/>
              </w:rPr>
              <w:t>0.02</w:t>
            </w:r>
          </w:p>
        </w:tc>
      </w:tr>
    </w:tbl>
    <w:p w14:paraId="7A91B790" w14:textId="77777777" w:rsidR="0029122F" w:rsidRPr="00455393" w:rsidRDefault="0029122F" w:rsidP="0029122F">
      <w:pPr>
        <w:rPr>
          <w:rStyle w:val="Strong"/>
          <w:rFonts w:ascii="Times New Roman" w:hAnsi="Times New Roman" w:cs="Times New Roman"/>
          <w:color w:val="000000"/>
        </w:rPr>
      </w:pPr>
    </w:p>
    <w:p w14:paraId="433C0E77" w14:textId="77777777" w:rsidR="0029122F" w:rsidRPr="00455393" w:rsidRDefault="0029122F" w:rsidP="0029122F">
      <w:pPr>
        <w:spacing w:line="360" w:lineRule="auto"/>
        <w:rPr>
          <w:rFonts w:ascii="Times New Roman" w:hAnsi="Times New Roman" w:cs="Times New Roman"/>
          <w:b/>
          <w:bCs/>
        </w:rPr>
      </w:pPr>
      <w:r w:rsidRPr="00455393">
        <w:rPr>
          <w:rStyle w:val="Strong"/>
          <w:rFonts w:ascii="Times New Roman" w:hAnsi="Times New Roman" w:cs="Times New Roman"/>
          <w:color w:val="000000"/>
        </w:rPr>
        <w:t>Note.</w:t>
      </w:r>
      <w:r w:rsidRPr="00455393">
        <w:rPr>
          <w:rStyle w:val="apple-converted-space"/>
          <w:rFonts w:ascii="Times New Roman" w:hAnsi="Times New Roman" w:cs="Times New Roman"/>
          <w:color w:val="000000"/>
        </w:rPr>
        <w:t> </w:t>
      </w:r>
      <w:r w:rsidRPr="00455393">
        <w:rPr>
          <w:rFonts w:ascii="Times New Roman" w:hAnsi="Times New Roman" w:cs="Times New Roman"/>
          <w:color w:val="000000"/>
        </w:rPr>
        <w:t>Break-even point calculated by dividing total program cost ($11,400) by estimated lifetime HIV treatment cost ($500,000).</w:t>
      </w:r>
    </w:p>
    <w:p w14:paraId="7203CE82" w14:textId="77777777" w:rsidR="0029122F" w:rsidRPr="00455393" w:rsidRDefault="0029122F" w:rsidP="0029122F">
      <w:pPr>
        <w:jc w:val="center"/>
        <w:rPr>
          <w:rFonts w:ascii="Times New Roman" w:hAnsi="Times New Roman" w:cs="Times New Roman"/>
          <w:b/>
          <w:bCs/>
        </w:rPr>
      </w:pPr>
    </w:p>
    <w:p w14:paraId="2D25D076" w14:textId="77777777" w:rsidR="003B14A2" w:rsidRDefault="003B14A2"/>
    <w:sectPr w:rsidR="003B14A2" w:rsidSect="0029122F">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6843" w14:textId="77777777" w:rsidR="0082600B" w:rsidRDefault="0082600B" w:rsidP="0029122F">
      <w:pPr>
        <w:spacing w:after="0" w:line="240" w:lineRule="auto"/>
      </w:pPr>
      <w:r>
        <w:separator/>
      </w:r>
    </w:p>
  </w:endnote>
  <w:endnote w:type="continuationSeparator" w:id="0">
    <w:p w14:paraId="07A23686" w14:textId="77777777" w:rsidR="0082600B" w:rsidRDefault="0082600B" w:rsidP="0029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4474338"/>
      <w:docPartObj>
        <w:docPartGallery w:val="Page Numbers (Bottom of Page)"/>
        <w:docPartUnique/>
      </w:docPartObj>
    </w:sdtPr>
    <w:sdtContent>
      <w:p w14:paraId="3AC70232" w14:textId="77777777" w:rsidR="0029122F" w:rsidRDefault="0029122F" w:rsidP="008E58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ABFF44" w14:textId="77777777" w:rsidR="0029122F" w:rsidRDefault="0029122F" w:rsidP="00671A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185020"/>
      <w:docPartObj>
        <w:docPartGallery w:val="Page Numbers (Bottom of Page)"/>
        <w:docPartUnique/>
      </w:docPartObj>
    </w:sdtPr>
    <w:sdtContent>
      <w:p w14:paraId="603503FE" w14:textId="77777777" w:rsidR="0029122F" w:rsidRDefault="0029122F" w:rsidP="008E58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p w14:paraId="6CE70AED" w14:textId="77777777" w:rsidR="0029122F" w:rsidRDefault="0029122F" w:rsidP="00671A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D3AC" w14:textId="269E7F23" w:rsidR="0029122F" w:rsidRPr="00A9183C" w:rsidRDefault="0029122F" w:rsidP="00A9183C">
    <w:pPr>
      <w:pStyle w:val="Footer"/>
      <w:spacing w:line="360" w:lineRule="auto"/>
      <w:rPr>
        <w:rFonts w:ascii="Times New Roman" w:hAnsi="Times New Roman" w:cs="Times New Roman"/>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F253" w14:textId="77777777" w:rsidR="0082600B" w:rsidRDefault="0082600B" w:rsidP="0029122F">
      <w:pPr>
        <w:spacing w:after="0" w:line="240" w:lineRule="auto"/>
      </w:pPr>
      <w:r>
        <w:separator/>
      </w:r>
    </w:p>
  </w:footnote>
  <w:footnote w:type="continuationSeparator" w:id="0">
    <w:p w14:paraId="4404ED9A" w14:textId="77777777" w:rsidR="0082600B" w:rsidRDefault="0082600B" w:rsidP="00291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2F"/>
    <w:rsid w:val="0029122F"/>
    <w:rsid w:val="003B14A2"/>
    <w:rsid w:val="0078209A"/>
    <w:rsid w:val="0082600B"/>
    <w:rsid w:val="0096047D"/>
    <w:rsid w:val="00AB6F1E"/>
    <w:rsid w:val="00D51408"/>
    <w:rsid w:val="00E1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EA184"/>
  <w15:chartTrackingRefBased/>
  <w15:docId w15:val="{7F4A84DF-3749-FE43-AE34-23FBF5C6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2F"/>
    <w:rPr>
      <w:rFonts w:eastAsiaTheme="minorEastAsia"/>
    </w:rPr>
  </w:style>
  <w:style w:type="paragraph" w:styleId="Heading1">
    <w:name w:val="heading 1"/>
    <w:basedOn w:val="Normal"/>
    <w:next w:val="Normal"/>
    <w:link w:val="Heading1Char"/>
    <w:uiPriority w:val="9"/>
    <w:qFormat/>
    <w:rsid w:val="00291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22F"/>
    <w:rPr>
      <w:rFonts w:eastAsiaTheme="majorEastAsia" w:cstheme="majorBidi"/>
      <w:color w:val="272727" w:themeColor="text1" w:themeTint="D8"/>
    </w:rPr>
  </w:style>
  <w:style w:type="paragraph" w:styleId="Title">
    <w:name w:val="Title"/>
    <w:basedOn w:val="Normal"/>
    <w:next w:val="Normal"/>
    <w:link w:val="TitleChar"/>
    <w:uiPriority w:val="10"/>
    <w:qFormat/>
    <w:rsid w:val="00291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22F"/>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29122F"/>
    <w:rPr>
      <w:i/>
      <w:iCs/>
      <w:color w:val="404040" w:themeColor="text1" w:themeTint="BF"/>
    </w:rPr>
  </w:style>
  <w:style w:type="paragraph" w:styleId="ListParagraph">
    <w:name w:val="List Paragraph"/>
    <w:basedOn w:val="Normal"/>
    <w:uiPriority w:val="34"/>
    <w:qFormat/>
    <w:rsid w:val="0029122F"/>
    <w:pPr>
      <w:ind w:left="720"/>
      <w:contextualSpacing/>
    </w:pPr>
    <w:rPr>
      <w:rFonts w:eastAsiaTheme="minorHAnsi"/>
    </w:rPr>
  </w:style>
  <w:style w:type="character" w:styleId="IntenseEmphasis">
    <w:name w:val="Intense Emphasis"/>
    <w:basedOn w:val="DefaultParagraphFont"/>
    <w:uiPriority w:val="21"/>
    <w:qFormat/>
    <w:rsid w:val="0029122F"/>
    <w:rPr>
      <w:i/>
      <w:iCs/>
      <w:color w:val="0F4761" w:themeColor="accent1" w:themeShade="BF"/>
    </w:rPr>
  </w:style>
  <w:style w:type="paragraph" w:styleId="IntenseQuote">
    <w:name w:val="Intense Quote"/>
    <w:basedOn w:val="Normal"/>
    <w:next w:val="Normal"/>
    <w:link w:val="IntenseQuoteChar"/>
    <w:uiPriority w:val="30"/>
    <w:qFormat/>
    <w:rsid w:val="0029122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29122F"/>
    <w:rPr>
      <w:i/>
      <w:iCs/>
      <w:color w:val="0F4761" w:themeColor="accent1" w:themeShade="BF"/>
    </w:rPr>
  </w:style>
  <w:style w:type="character" w:styleId="IntenseReference">
    <w:name w:val="Intense Reference"/>
    <w:basedOn w:val="DefaultParagraphFont"/>
    <w:uiPriority w:val="32"/>
    <w:qFormat/>
    <w:rsid w:val="0029122F"/>
    <w:rPr>
      <w:b/>
      <w:bCs/>
      <w:smallCaps/>
      <w:color w:val="0F4761" w:themeColor="accent1" w:themeShade="BF"/>
      <w:spacing w:val="5"/>
    </w:rPr>
  </w:style>
  <w:style w:type="table" w:styleId="TableGrid">
    <w:name w:val="Table Grid"/>
    <w:basedOn w:val="TableNormal"/>
    <w:uiPriority w:val="39"/>
    <w:rsid w:val="0029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9122F"/>
  </w:style>
  <w:style w:type="character" w:styleId="Strong">
    <w:name w:val="Strong"/>
    <w:basedOn w:val="DefaultParagraphFont"/>
    <w:uiPriority w:val="22"/>
    <w:qFormat/>
    <w:rsid w:val="0029122F"/>
    <w:rPr>
      <w:b/>
      <w:bCs/>
    </w:rPr>
  </w:style>
  <w:style w:type="character" w:styleId="PageNumber">
    <w:name w:val="page number"/>
    <w:basedOn w:val="DefaultParagraphFont"/>
    <w:uiPriority w:val="99"/>
    <w:semiHidden/>
    <w:unhideWhenUsed/>
    <w:rsid w:val="0029122F"/>
  </w:style>
  <w:style w:type="paragraph" w:styleId="Footer">
    <w:name w:val="footer"/>
    <w:basedOn w:val="Normal"/>
    <w:link w:val="FooterChar"/>
    <w:uiPriority w:val="99"/>
    <w:unhideWhenUsed/>
    <w:rsid w:val="00291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22F"/>
    <w:rPr>
      <w:rFonts w:eastAsiaTheme="minorEastAsia"/>
    </w:rPr>
  </w:style>
  <w:style w:type="paragraph" w:styleId="NoSpacing">
    <w:name w:val="No Spacing"/>
    <w:uiPriority w:val="1"/>
    <w:qFormat/>
    <w:rsid w:val="0029122F"/>
    <w:pPr>
      <w:spacing w:after="0" w:line="240" w:lineRule="auto"/>
    </w:pPr>
  </w:style>
  <w:style w:type="paragraph" w:styleId="Header">
    <w:name w:val="header"/>
    <w:basedOn w:val="Normal"/>
    <w:link w:val="HeaderChar"/>
    <w:uiPriority w:val="99"/>
    <w:unhideWhenUsed/>
    <w:rsid w:val="00291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22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Cost</c:v>
                </c:pt>
              </c:strCache>
            </c:strRef>
          </c:tx>
          <c:spPr>
            <a:solidFill>
              <a:schemeClr val="accent6">
                <a:lumMod val="40000"/>
                <a:lumOff val="60000"/>
                <a:alpha val="70000"/>
              </a:schemeClr>
            </a:solidFill>
            <a:ln>
              <a:noFill/>
            </a:ln>
            <a:effectLst/>
          </c:spPr>
          <c:invertIfNegative val="0"/>
          <c:dPt>
            <c:idx val="1"/>
            <c:invertIfNegative val="0"/>
            <c:bubble3D val="0"/>
            <c:spPr>
              <a:solidFill>
                <a:schemeClr val="accent6">
                  <a:lumMod val="60000"/>
                  <a:lumOff val="40000"/>
                  <a:alpha val="70000"/>
                </a:schemeClr>
              </a:solidFill>
              <a:ln>
                <a:noFill/>
              </a:ln>
              <a:effectLst/>
            </c:spPr>
            <c:extLst>
              <c:ext xmlns:c16="http://schemas.microsoft.com/office/drawing/2014/chart" uri="{C3380CC4-5D6E-409C-BE32-E72D297353CC}">
                <c16:uniqueId val="{00000001-8D7A-2F40-A5A2-19808FF74C95}"/>
              </c:ext>
            </c:extLst>
          </c:dPt>
          <c:dPt>
            <c:idx val="2"/>
            <c:invertIfNegative val="0"/>
            <c:bubble3D val="0"/>
            <c:spPr>
              <a:solidFill>
                <a:schemeClr val="accent4">
                  <a:lumMod val="60000"/>
                  <a:lumOff val="40000"/>
                  <a:alpha val="70000"/>
                </a:schemeClr>
              </a:solidFill>
              <a:ln>
                <a:noFill/>
              </a:ln>
              <a:effectLst/>
            </c:spPr>
            <c:extLst>
              <c:ext xmlns:c16="http://schemas.microsoft.com/office/drawing/2014/chart" uri="{C3380CC4-5D6E-409C-BE32-E72D297353CC}">
                <c16:uniqueId val="{00000003-8D7A-2F40-A5A2-19808FF74C95}"/>
              </c:ext>
            </c:extLst>
          </c:dPt>
          <c:dPt>
            <c:idx val="3"/>
            <c:invertIfNegative val="0"/>
            <c:bubble3D val="0"/>
            <c:spPr>
              <a:solidFill>
                <a:schemeClr val="accent5">
                  <a:lumMod val="60000"/>
                  <a:lumOff val="40000"/>
                  <a:alpha val="70000"/>
                </a:schemeClr>
              </a:solidFill>
              <a:ln>
                <a:noFill/>
              </a:ln>
              <a:effectLst/>
            </c:spPr>
            <c:extLst>
              <c:ext xmlns:c16="http://schemas.microsoft.com/office/drawing/2014/chart" uri="{C3380CC4-5D6E-409C-BE32-E72D297353CC}">
                <c16:uniqueId val="{00000005-8D7A-2F40-A5A2-19808FF74C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Program Cost</c:v>
                </c:pt>
                <c:pt idx="1">
                  <c:v>1 Infection Prevented</c:v>
                </c:pt>
                <c:pt idx="2">
                  <c:v>2 Infections Prevented</c:v>
                </c:pt>
                <c:pt idx="3">
                  <c:v>3 Infections Prevented</c:v>
                </c:pt>
              </c:strCache>
            </c:strRef>
          </c:cat>
          <c:val>
            <c:numRef>
              <c:f>Sheet1!$B$2:$B$5</c:f>
              <c:numCache>
                <c:formatCode>"$"#,##0</c:formatCode>
                <c:ptCount val="4"/>
                <c:pt idx="0">
                  <c:v>11400</c:v>
                </c:pt>
                <c:pt idx="1">
                  <c:v>500000</c:v>
                </c:pt>
                <c:pt idx="2">
                  <c:v>1000000</c:v>
                </c:pt>
                <c:pt idx="3">
                  <c:v>1500000</c:v>
                </c:pt>
              </c:numCache>
            </c:numRef>
          </c:val>
          <c:extLst>
            <c:ext xmlns:c16="http://schemas.microsoft.com/office/drawing/2014/chart" uri="{C3380CC4-5D6E-409C-BE32-E72D297353CC}">
              <c16:uniqueId val="{00000006-8D7A-2F40-A5A2-19808FF74C95}"/>
            </c:ext>
          </c:extLst>
        </c:ser>
        <c:dLbls>
          <c:dLblPos val="inEnd"/>
          <c:showLegendKey val="0"/>
          <c:showVal val="1"/>
          <c:showCatName val="0"/>
          <c:showSerName val="0"/>
          <c:showPercent val="0"/>
          <c:showBubbleSize val="0"/>
        </c:dLbls>
        <c:gapWidth val="80"/>
        <c:overlap val="25"/>
        <c:axId val="1150380864"/>
        <c:axId val="1150382576"/>
      </c:barChart>
      <c:catAx>
        <c:axId val="115038086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150382576"/>
        <c:crosses val="autoZero"/>
        <c:auto val="1"/>
        <c:lblAlgn val="ctr"/>
        <c:lblOffset val="100"/>
        <c:noMultiLvlLbl val="0"/>
      </c:catAx>
      <c:valAx>
        <c:axId val="1150382576"/>
        <c:scaling>
          <c:orientation val="minMax"/>
        </c:scaling>
        <c:delete val="0"/>
        <c:axPos val="l"/>
        <c:majorGridlines>
          <c:spPr>
            <a:ln w="9525" cap="flat" cmpd="sng" algn="ctr">
              <a:solidFill>
                <a:schemeClr val="tx1">
                  <a:lumMod val="5000"/>
                  <a:lumOff val="9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150380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E9C-6244-BDC0-BDC524B3AC2B}"/>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E9C-6244-BDC0-BDC524B3AC2B}"/>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E9C-6244-BDC0-BDC524B3AC2B}"/>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E9C-6244-BDC0-BDC524B3AC2B}"/>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E9C-6244-BDC0-BDC524B3AC2B}"/>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1E9C-6244-BDC0-BDC524B3AC2B}"/>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1E9C-6244-BDC0-BDC524B3AC2B}"/>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1E9C-6244-BDC0-BDC524B3AC2B}"/>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1E9C-6244-BDC0-BDC524B3AC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Student Time</c:v>
                </c:pt>
                <c:pt idx="1">
                  <c:v>Staff Training</c:v>
                </c:pt>
                <c:pt idx="2">
                  <c:v>Lab Monitoring</c:v>
                </c:pt>
                <c:pt idx="3">
                  <c:v>EHR Build</c:v>
                </c:pt>
                <c:pt idx="4">
                  <c:v>Nursing Admin</c:v>
                </c:pt>
                <c:pt idx="5">
                  <c:v>Care Coordination</c:v>
                </c:pt>
                <c:pt idx="6">
                  <c:v>Patient Education</c:v>
                </c:pt>
                <c:pt idx="7">
                  <c:v>Training Materials</c:v>
                </c:pt>
                <c:pt idx="8">
                  <c:v>Injection Supplies</c:v>
                </c:pt>
              </c:strCache>
            </c:strRef>
          </c:cat>
          <c:val>
            <c:numRef>
              <c:f>Sheet1!$B$2:$B$10</c:f>
              <c:numCache>
                <c:formatCode>General</c:formatCode>
                <c:ptCount val="9"/>
                <c:pt idx="0">
                  <c:v>6300</c:v>
                </c:pt>
                <c:pt idx="1">
                  <c:v>1200</c:v>
                </c:pt>
                <c:pt idx="2">
                  <c:v>1500</c:v>
                </c:pt>
                <c:pt idx="3">
                  <c:v>750</c:v>
                </c:pt>
                <c:pt idx="4">
                  <c:v>500</c:v>
                </c:pt>
                <c:pt idx="5">
                  <c:v>500</c:v>
                </c:pt>
                <c:pt idx="6">
                  <c:v>300</c:v>
                </c:pt>
                <c:pt idx="7">
                  <c:v>250</c:v>
                </c:pt>
                <c:pt idx="8">
                  <c:v>100</c:v>
                </c:pt>
              </c:numCache>
            </c:numRef>
          </c:val>
          <c:extLst>
            <c:ext xmlns:c16="http://schemas.microsoft.com/office/drawing/2014/chart" uri="{C3380CC4-5D6E-409C-BE32-E72D297353CC}">
              <c16:uniqueId val="{00000012-1E9C-6244-BDC0-BDC524B3AC2B}"/>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2102</Characters>
  <Application>Microsoft Office Word</Application>
  <DocSecurity>0</DocSecurity>
  <Lines>100</Lines>
  <Paragraphs>44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Paciorkowski</dc:creator>
  <cp:keywords/>
  <dc:description/>
  <cp:lastModifiedBy>Katie Paciorkowski</cp:lastModifiedBy>
  <cp:revision>1</cp:revision>
  <dcterms:created xsi:type="dcterms:W3CDTF">2026-05-03T18:40:00Z</dcterms:created>
  <dcterms:modified xsi:type="dcterms:W3CDTF">2026-05-03T18:40:00Z</dcterms:modified>
</cp:coreProperties>
</file>